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5C51C">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1E79ADA3">
      <w:pPr>
        <w:spacing w:line="540" w:lineRule="exact"/>
        <w:jc w:val="center"/>
        <w:rPr>
          <w:rFonts w:ascii="方正小标宋_GBK" w:hAnsi="华文中宋" w:eastAsia="方正小标宋_GBK" w:cs="宋体"/>
          <w:b/>
          <w:kern w:val="0"/>
          <w:sz w:val="48"/>
          <w:szCs w:val="48"/>
        </w:rPr>
      </w:pPr>
    </w:p>
    <w:p w14:paraId="3E4C46F7">
      <w:pPr>
        <w:spacing w:line="540" w:lineRule="exact"/>
        <w:jc w:val="center"/>
        <w:rPr>
          <w:rFonts w:ascii="方正小标宋_GBK" w:hAnsi="华文中宋" w:eastAsia="方正小标宋_GBK" w:cs="宋体"/>
          <w:b/>
          <w:kern w:val="0"/>
          <w:sz w:val="48"/>
          <w:szCs w:val="48"/>
        </w:rPr>
      </w:pPr>
    </w:p>
    <w:p w14:paraId="5038507C">
      <w:pPr>
        <w:spacing w:line="540" w:lineRule="exact"/>
        <w:jc w:val="center"/>
        <w:rPr>
          <w:rFonts w:ascii="方正小标宋_GBK" w:hAnsi="华文中宋" w:eastAsia="方正小标宋_GBK" w:cs="宋体"/>
          <w:b/>
          <w:kern w:val="0"/>
          <w:sz w:val="48"/>
          <w:szCs w:val="48"/>
        </w:rPr>
      </w:pPr>
    </w:p>
    <w:p w14:paraId="7F46F2AF">
      <w:pPr>
        <w:spacing w:line="540" w:lineRule="exact"/>
        <w:jc w:val="center"/>
        <w:rPr>
          <w:rFonts w:ascii="方正小标宋_GBK" w:hAnsi="华文中宋" w:eastAsia="方正小标宋_GBK" w:cs="宋体"/>
          <w:b/>
          <w:kern w:val="0"/>
          <w:sz w:val="48"/>
          <w:szCs w:val="48"/>
        </w:rPr>
      </w:pPr>
    </w:p>
    <w:p w14:paraId="681FF96A">
      <w:pPr>
        <w:spacing w:line="540" w:lineRule="exact"/>
        <w:jc w:val="center"/>
        <w:rPr>
          <w:rFonts w:ascii="方正小标宋_GBK" w:hAnsi="华文中宋" w:eastAsia="方正小标宋_GBK" w:cs="宋体"/>
          <w:b/>
          <w:kern w:val="0"/>
          <w:sz w:val="48"/>
          <w:szCs w:val="48"/>
        </w:rPr>
      </w:pPr>
    </w:p>
    <w:p w14:paraId="7B6A8089">
      <w:pPr>
        <w:spacing w:line="540" w:lineRule="exact"/>
        <w:jc w:val="center"/>
        <w:rPr>
          <w:rFonts w:ascii="方正小标宋_GBK" w:hAnsi="华文中宋" w:eastAsia="方正小标宋_GBK" w:cs="宋体"/>
          <w:b/>
          <w:kern w:val="0"/>
          <w:sz w:val="48"/>
          <w:szCs w:val="48"/>
        </w:rPr>
      </w:pPr>
    </w:p>
    <w:p w14:paraId="1E31FC8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42BA351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7D556E07">
      <w:pPr>
        <w:spacing w:line="540" w:lineRule="exact"/>
        <w:jc w:val="center"/>
        <w:rPr>
          <w:rFonts w:ascii="华文中宋" w:hAnsi="华文中宋" w:eastAsia="华文中宋" w:cs="宋体"/>
          <w:b/>
          <w:kern w:val="0"/>
          <w:sz w:val="52"/>
          <w:szCs w:val="52"/>
        </w:rPr>
      </w:pPr>
    </w:p>
    <w:p w14:paraId="08BEAD81">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65ED54B4">
      <w:pPr>
        <w:spacing w:line="700" w:lineRule="exact"/>
        <w:jc w:val="left"/>
        <w:rPr>
          <w:rFonts w:hint="eastAsia" w:hAnsi="宋体" w:eastAsia="仿宋_GB2312" w:cs="宋体"/>
          <w:kern w:val="0"/>
          <w:sz w:val="36"/>
          <w:szCs w:val="36"/>
        </w:rPr>
      </w:pPr>
    </w:p>
    <w:p w14:paraId="23B2A70B">
      <w:pPr>
        <w:spacing w:line="700" w:lineRule="exact"/>
        <w:jc w:val="left"/>
        <w:rPr>
          <w:rFonts w:hint="eastAsia" w:hAnsi="宋体" w:eastAsia="仿宋_GB2312" w:cs="宋体"/>
          <w:kern w:val="0"/>
          <w:sz w:val="36"/>
          <w:szCs w:val="36"/>
        </w:rPr>
      </w:pPr>
    </w:p>
    <w:p w14:paraId="4566B8EC">
      <w:pPr>
        <w:spacing w:line="700" w:lineRule="exact"/>
        <w:jc w:val="left"/>
        <w:rPr>
          <w:rFonts w:hint="eastAsia" w:hAnsi="宋体" w:eastAsia="仿宋_GB2312" w:cs="宋体"/>
          <w:kern w:val="0"/>
          <w:sz w:val="36"/>
          <w:szCs w:val="36"/>
          <w:lang w:eastAsia="zh-CN"/>
        </w:rPr>
      </w:pPr>
    </w:p>
    <w:p w14:paraId="03EE161D">
      <w:pPr>
        <w:spacing w:line="700" w:lineRule="exact"/>
        <w:jc w:val="left"/>
        <w:rPr>
          <w:rFonts w:hint="eastAsia" w:hAnsi="宋体" w:eastAsia="仿宋_GB2312" w:cs="宋体"/>
          <w:kern w:val="0"/>
          <w:sz w:val="36"/>
          <w:szCs w:val="36"/>
          <w:lang w:eastAsia="zh-CN"/>
        </w:rPr>
      </w:pPr>
    </w:p>
    <w:p w14:paraId="0E037310">
      <w:pPr>
        <w:spacing w:line="700" w:lineRule="exact"/>
        <w:jc w:val="left"/>
        <w:rPr>
          <w:rFonts w:hint="eastAsia" w:hAnsi="宋体" w:eastAsia="仿宋_GB2312" w:cs="宋体"/>
          <w:kern w:val="0"/>
          <w:sz w:val="36"/>
          <w:szCs w:val="36"/>
          <w:lang w:eastAsia="zh-CN"/>
        </w:rPr>
      </w:pPr>
    </w:p>
    <w:p w14:paraId="37B1571C">
      <w:pPr>
        <w:spacing w:line="700" w:lineRule="exact"/>
        <w:jc w:val="left"/>
        <w:rPr>
          <w:rFonts w:hint="eastAsia" w:hAnsi="宋体" w:eastAsia="仿宋_GB2312" w:cs="宋体"/>
          <w:kern w:val="0"/>
          <w:sz w:val="36"/>
          <w:szCs w:val="36"/>
          <w:lang w:eastAsia="zh-CN"/>
        </w:rPr>
      </w:pPr>
    </w:p>
    <w:p w14:paraId="48F764A3">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克州农业农村机械化发展中心</w:t>
      </w:r>
    </w:p>
    <w:p w14:paraId="2D0BF07C">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0944AA1E">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597E39A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7CAD86A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为贯彻执行国家、自治区有关农业机械的法律、法规和方针、政策；研究提出全州农业机械化发展和服务规划经批准后组织实施；组织或协同开展家业机械科学研究，技术推广和教育培训；指导农业机械化社会化服务网络建设，组织开展农业机械社会化服务；指导全州农机行业家业机械的研制开发，销售、维修等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克州农业农村机械化发展中心编制20名，其中：事业编制20名。实有人员44人，其中：在职23人，退休21人。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克州农业农村机械化发展中心在州党委、人民政府的正确领导和自治区农业农村机械化发展中心及农业农村局党组的指导、支持下，紧紧围绕自治州党委“3+1”重点工作，按照发展现代农业的战略目标来开展工作，建立健全强农惠农财政补贴政策和管理机制，大力推广和引进农机新机具、新技术，使我州农业生产机械化水平有了较大提高。主要工作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始终坚持新时代党的治疆方略，牢固树立社会稳定和长治久安总目标的思想基础加强学习，进一步提高政治站位。深入开展民族团结一家亲活动，营造团结稳定氛围。依法加强宗教事务的管理。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常态化抓好新冠肺炎疫情防控工作，一是加强宣传教育和疫情工作提醒。及时传达上级党委、政府工作部署和最新疫情信息，普及疫情防控知识和防控要求，强化舆情监测与引导，做到干部职工不信谣、不传谣、不恐慌。二是落实物资保障。督促办公室采购、储备、调配疫情防控应急物资，确保随时处于备用状态，做好常态化疫情物资准备，做到随时应急，随时使用。三是建立人员流动报告制度。单位干部职工每天按照要求进行体温测量并登记，对来访人员严格做好登记及体温测量，单位人员以及来访人员一旦发现发热、乏力、干咳、呼吸困难等现象及时向有关部门上报，并到指定医疗机构进行排查、诊治。四是落实好消杀工作和核酸检测工作。安排专人负责对办公区域和卫生间做好消杀、环境卫生清洁、体温测量、接种疫苗等工作，密切关注疫情上报信息，做到早发现、早报告、早处置。</w:t>
      </w:r>
      <w:r>
        <w:rPr>
          <w:rFonts w:hint="eastAsia" w:ascii="仿宋_GB2312" w:hAnsi="宋体" w:eastAsia="仿宋_GB2312"/>
          <w:b w:val="0"/>
          <w:bCs/>
          <w:sz w:val="32"/>
          <w:szCs w:val="32"/>
        </w:rPr>
        <w:cr/>
      </w:r>
      <w:r>
        <w:rPr>
          <w:rFonts w:hint="eastAsia" w:ascii="仿宋_GB2312" w:hAnsi="宋体" w:eastAsia="仿宋_GB2312"/>
          <w:b w:val="0"/>
          <w:bCs/>
          <w:sz w:val="32"/>
          <w:szCs w:val="32"/>
        </w:rPr>
        <w:t>　　全力抓好“访惠聚”驻村工作，助推巩固拓展脱贫攻坚与乡村振兴战略。加强组织领导，落实后盾责任。成立以党支部书记为组长，主任及分管领导为副组长，各科室（站）负责人为成员的领导小组，形成了主要领导亲自抓，分管领导具体抓，“访惠聚”驻村工作第一书记全面抓的工作格局，明确了工作职责和任务分工，落实专项工作经费，做到了机构、人员、经费、责任“四个到位”，为顺利开展“访惠聚”驻村点工作提供了坚强的组织保障。严明驻村纪律，压实助推责任。按照“访惠聚”驻村工作要求，选优配强派驻工作队队长和驻村工作队队员，组建工作责任心强、基层工作经验丰富、政治素质高、能力强的17名干部到2个村开展驻村工作。其中阿图什市松他克乡松他克村7名，帕提阡村6名，同时配备年轻干部担任乡村振兴专职干部，不断增强“访惠聚”驻村工作定点帮扶主体责任落实。全力解决好老百姓的急事难事。一是开展走访慰问活动。在元旦、春节期间组织村民开展文化活动和走访慰问。对生活比较困难的家庭送去了面粉和清油，向他们送上新春的祝福。在建党100周年之际购买价值11765元的物品慰问老党员。二是加大基础设施建设和开展环境整治。为了改善村容村貌和乡村环境卫生整治，为墩巴格村、松他克村共投入10万余元，重点对5+2办公楼内墙进行重新粉刷和村级道路两旁进行环境整治，安装监控，水渠加固，购买4台电视机和网红直播设备、党群会议电视1台以及移动广播音响1套等。三是开展助学活动。为解决家庭困难大学生上学难的问题，对77名贫困学生发放助学金7.9万元。在“六一”儿童节为三个驻村工作点的学校和幼儿园送上价值7947元的学习用品，为松他克乡中心幼儿园采购价值1.4万元广播音响一套。四是深入推进产业扶贫。为了防止已脱贫户返贫，为墩巴格村已脱贫户发放木纳格葡萄苗1000棵，价值8000元，并组织技术人员进行栽种和技术讲解，送上致富的“金钥匙”。</w:t>
      </w:r>
      <w:r>
        <w:rPr>
          <w:rFonts w:hint="eastAsia" w:ascii="仿宋_GB2312" w:hAnsi="宋体" w:eastAsia="仿宋_GB2312"/>
          <w:b w:val="0"/>
          <w:bCs/>
          <w:sz w:val="32"/>
          <w:szCs w:val="32"/>
        </w:rPr>
        <w:cr/>
      </w:r>
      <w:r>
        <w:rPr>
          <w:rFonts w:hint="eastAsia" w:ascii="仿宋_GB2312" w:hAnsi="宋体" w:eastAsia="仿宋_GB2312"/>
          <w:b w:val="0"/>
          <w:bCs/>
          <w:sz w:val="32"/>
          <w:szCs w:val="32"/>
        </w:rPr>
        <w:t>　　创新思路、突出重点，农机化业绩突出，农业机械化服务程度明显提高。2021年全州农机装备总量和生产质量进一步提高，农业机械总动力预计达51.3万千瓦、拖拉机和配套农具数达54224台（架）其中：拖拉机18032台，配套农具36192台（架）。主要农作物机耕和机播作业机械化程度分别达99.98%，98.8%，机收作业机械化程度达82.9%，管理作业（打农药，除草作业为主）机械化程度达93%，综合机械化程度达89.91%、同比增长2.11%。全年投入生产的农机具43120台架（其中拖拉机17248台，配套农具25872台/架），农机经营总收入和效益稳步提高，农机经营总收入达4.55亿元。创建农机化示范工作。一是结合春耕、“三夏”、“三秋”农机化生产，重点推广深松作业、精量播种、秸秆综合利用等机械化新技术、新机具，切实提高机械化作业质量。在三县一市共举办小麦机收、玉米秸秆柔丝打包、葡萄枝干粉粹打包、机采棉、残膜回收等示范推广现场会12场，推动新技术、新机具广泛使用；二是示范推广棉花种植机械化技术。完成推广机采棉模式种植6.4万亩棉花。三是创建示范区建设，推动农机化在农业生产的主力军作用。今年创建全国主要农作物全程机械化县1个，创建自治区级农机专业合作社2个。四是农作物秸秆综合利用规模逐步扩大，今年小麦、玉米、草料机械加工量达到了181万吨（其中：小麦麦草22万吨，玉米秸秆青贮饲料110万吨，苜蓿、草料49万吨）。五是农作物精量播种技术推广规模稳步提高。农作物精量播种规模达97.6万亩（其中：棉花12万亩，玉米43.6万亩，小麦42万亩）。六是农业机械智能化进一步提高，无人机打药、激光平地、深松等智能化作业面积达25.3万亩。七是组织农机、畜牧、林业等40名专业技术人员参加了自治区农机博览会。落实惠民惠农政策、提升农机装备水平。一是严格落实农机购置补贴政策。2021年我州农机购置补贴资金960万元，全部已补发到2020年农机购置补贴缺口，目前为止发放农机购置补贴资金955.4275万元，完成率达99.5%，农机购置补贴受益户267户，购买农机具389台，带动农民和社会总投入超过6687.992万元。二是大力推动深松整地作业补助落实。截止10月底全州已完成农机深松整地作业面积4.31万亩，发放农机深松整地作业补助资金129.22万元，受益户2884户。三是农机报废更新补贴政策落实情况。各县（市）与回收部门协同办理报废更新补贴拖拉机298台，受益户292户，报废补贴资金80万元。四是项目执行情况。2021年自治区扶持农机化专项资金30万元，主要扶持农机新技术使用、推广、创建全国主要农作物全程机械化及创建自治区级农机专业合作社等方面，项目进入验收阶段。加强技术培训、促进培训学校的规范化建设、提高农机手综合素质。2021年通过“冬季攻势”、进乡入村开展宣讲、现场观摩会等方式对农机管理人员、专业技术人员、农机合作社相关人员、拖拉机驾驶操作人员及大型工程机械设备操作人员进行培训。截至目前，教育培训各类人员3.2万人次，其中：农机管理人员144名，专业技术人员44人次，农机手2.01万人次，农机合作社人员632名；举办拖拉机驾驶操作人员培训班28期，培训人员1347名，其中：拖拉机及联合收割机驾驶人18期，培训人员779人，大型工程机械操作人员10期，培训人员384人。农机社会化服务水平快速提高。以农机合作社为主的新型农机合作组织加快发展，服务领域和服务规模不断拓宽。今年创建自治区级农机专业合作社2个。全州工商系统注册登记的农机专业合作社38个，农机合作社入社成员780人，机具总数1270台，作业面积累计11.4万亩，服务农户2.28万户，服务性收入超过500万元。全州参加跨区作业机具527台，完成作业任务15.9万亩，创收1113.152万元，充分发挥了农机合作社和农机大户的作用。加强对农机及大型工程机械安全监管工作。一是认真做好农机管理工作。2021年全州在册拖拉机18032台，驾驶员17247人。应检拖拉机15179台，已检拖拉机13054台，检验率86%，待报废清除拖拉机2759台。深入开展农机安全生产监管。大力开展“大排查、大整治，无牌行驶、无证驾驶”、“隐患排查”等安全整治活动，开展农机安全生产检查201次，检查拖拉机825台，注册登记拖拉机联合收割机837台，注销报废499台，通过大排查对2521台僵尸拖拉机进行清理；</w:t>
      </w:r>
      <w:r>
        <w:rPr>
          <w:rFonts w:hint="eastAsia" w:ascii="仿宋_GB2312" w:hAnsi="宋体" w:eastAsia="仿宋_GB2312"/>
          <w:b w:val="0"/>
          <w:bCs/>
          <w:sz w:val="32"/>
          <w:szCs w:val="32"/>
          <w:lang w:eastAsia="zh-CN"/>
        </w:rPr>
        <w:t>截至目前</w:t>
      </w:r>
      <w:r>
        <w:rPr>
          <w:rFonts w:hint="eastAsia" w:ascii="仿宋_GB2312" w:hAnsi="宋体" w:eastAsia="仿宋_GB2312"/>
          <w:b w:val="0"/>
          <w:bCs/>
          <w:sz w:val="32"/>
          <w:szCs w:val="32"/>
        </w:rPr>
        <w:t>，全州共组织拖拉机、联合收割机驾驶证考试14场，参加考试驾驶员合格607人。同时为提高安全意识，强化宣传教育，发放各类宣传材料2万余份；制作宣传板报2块、悬挂横幅8条，受教育人员3.6万人次。二是全力做好大型工程机械管理工作。截至目前，全州已注册登记大型工程机械3362台，操作员3827名，2021年新注册大型工程机械设备331台，组织大型工程机械设备操作人员考试10场，已核发大型工程机械设备操作证377人</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生态环境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（2）收支管理：领导层是本单位收支业务管理的决策部门，负责审批单位收支业务等事项。涉及“三重一大”事项，根据《克州生态环境局集体决策制度》和《克州生态环境局项目管理办法》办理。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生态环境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农牧业机械技术推广站合同管理办法》相关规定，克州农牧业机械技术推广站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541.15万元，项目支出安排资金68.67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本单位2021年度项目支出68.67万元，涉及项目数量5个，其中：重点项目支出30.6万元，涉及重点项目数量1个，重点项目支出与部门项目总支出的比率为44.56%。</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2021年度本单位年初批复部门预算资金总额为505.37万元，年中调增预算总额为104，45万元，调整后全年预算资金总额为609.82万元。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2021年度本单位部门整体支出资金总额为609.82万元，预算执行率为100%，预算调整率为</w:t>
      </w:r>
      <w:r>
        <w:rPr>
          <w:rFonts w:hint="eastAsia" w:ascii="仿宋_GB2312" w:hAnsi="宋体" w:eastAsia="仿宋_GB2312"/>
          <w:b w:val="0"/>
          <w:bCs/>
          <w:sz w:val="32"/>
          <w:szCs w:val="32"/>
          <w:lang w:val="en-US" w:eastAsia="zh-CN"/>
        </w:rPr>
        <w:t>20.67</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年初政府采购预算数为42.8万元，实际政府采购数为40.53万元，政府采购执行率为93.10%。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64C096D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16EE026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为加强我单位预算管理、规范财务行为我单位制定了《克州生态环境局内部控制规范》《克州生态环境局项目管理规范》等资金管理制度，已建立制度均健全且有效运行。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2021年度我单位基本支出预算总额为541.15万元，其中人员经费519.03万元，公用经费22.12万元。实际执行总额为541.15万元。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3.16万元，比上年减少0.29万元，下降8.81%，主要原因是：严格控制“三公”经费，严把资金关。其中，因公出国（境）费支出0万元；公务用车购置及运行维护费支出3.16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与年初预算数相比情况：一般公共预算“三公”经费支出年初预算数3.46万元，预算执行数为3.16万元，执行率91.33%，主要原因是：按照厉行节约的要求，2021年缩减公务车运行维护费，因此支出随之减少。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2021年度本单位项目支出预算总额为68.67万元，实际执行资金总额为68.67万元，预算执行率为100%。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2021年度预算安排专项资金31.07万元，实际支出资金31.07万元，预算执行率为100%，涉及项目个数3个。专项经费按照政策要求实行专款专用，不存在截留、挤占、挪用、虚列支出。各项目详细执行情况如下：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自治区财政扶持农机化发展项目:全年预算数为10万元，预算执行数10万元，预算执行率为100%；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扶持农机化发展专项资金：全年预算数1.53万元，预算执行数1.53万元，预算执行率为100%；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为民办实事和第一书记工作经费项目：全年预算数19.54万元，预算执行数19.54万元，预算执行率为100%。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2021年度预算安排本级财力资金37.60万元，实际支出资金37.60万元，预算执行率为100%，涉及项目个数2个，各项目详细执行情况如下：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联建工作经费项目:全年预算数为7万元，预算执行数7万元，预算执行率为100%；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大型工程机械设备监控中心建设项目：全年预算数30.60万元，预算执行数30.60万元，预算执行率为100%；</w:t>
      </w:r>
    </w:p>
    <w:p w14:paraId="606D32BD">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52C013DB">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和为民办实事经费项目的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自治区财政扶持农机化发展项目：《关于下达2021年自治区财政扶持农机化发展专项资金预算的通知》（克财农[2021]5号）</w:t>
      </w:r>
      <w:r>
        <w:rPr>
          <w:rFonts w:hint="eastAsia" w:ascii="仿宋_GB2312" w:hAnsi="宋体" w:eastAsia="仿宋_GB2312"/>
          <w:b w:val="0"/>
          <w:bCs/>
          <w:sz w:val="32"/>
          <w:szCs w:val="32"/>
        </w:rPr>
        <w:cr/>
      </w:r>
      <w:r>
        <w:rPr>
          <w:rFonts w:hint="eastAsia" w:ascii="仿宋_GB2312" w:hAnsi="宋体" w:eastAsia="仿宋_GB2312"/>
          <w:b w:val="0"/>
          <w:bCs/>
          <w:sz w:val="32"/>
          <w:szCs w:val="32"/>
        </w:rPr>
        <w:t>　　扶持农机化发展专项资金项目：《关于下达2020年自治区财政扶持农机化发展专项资金预算的通知》（克财农[2020]14号）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3项专项，总投入共计31.07万元，资金全部到位，实际使用资金31.07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①制订《克州生态环境局经费使用规范》,为合理合规使用经费提供了有力的制度保障。同时,建立区委组织部项目经费内部管控制度，并严格按要求落实。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成本节约：我单位3个项目成本均未超预算，预算执行率达100%。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我单位共有3个项目，项目实施进度已达到100%.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办和为民办实事经费项目：主要用于阿克陶县巴仁乡墩巴格村工作队和第一书记开展群众工作经费保障，有利于深入基层，积极为民办实事好事，顺利开展阿克陶县巴仁乡墩巴格村工作队基层组织工作，帮助解决农牧民生产生活等困难问题，宣传党的各项惠民政策，维护社会稳定和长治久安，进一步增强农牧民的幸福感和获得感。</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财政扶持农机化发展项目：主要用于农机化技术示范推广及阿图什市标准化葡萄全程机械化示范推广，有利于使葡萄埋墩、开墩由人工变为机械化作业，从而提高劳动效率、降低劳动强度，减少用工成本，增加农牧民的收入。</w:t>
      </w:r>
      <w:r>
        <w:rPr>
          <w:rFonts w:hint="eastAsia" w:ascii="仿宋_GB2312" w:hAnsi="宋体" w:eastAsia="仿宋_GB2312"/>
          <w:b w:val="0"/>
          <w:bCs/>
          <w:sz w:val="32"/>
          <w:szCs w:val="32"/>
        </w:rPr>
        <w:cr/>
      </w:r>
      <w:r>
        <w:rPr>
          <w:rFonts w:hint="eastAsia" w:ascii="仿宋_GB2312" w:hAnsi="宋体" w:eastAsia="仿宋_GB2312"/>
          <w:b w:val="0"/>
          <w:bCs/>
          <w:sz w:val="32"/>
          <w:szCs w:val="32"/>
        </w:rPr>
        <w:t>　　扶持农机化发展专项资金：主要用于农机购置补贴检查和农作物综合机械化水平提高，有利于确保大型工程机械设备的安全监管，</w:t>
      </w:r>
      <w:r>
        <w:rPr>
          <w:rFonts w:hint="eastAsia" w:ascii="仿宋_GB2312" w:hAnsi="宋体" w:eastAsia="仿宋_GB2312"/>
          <w:b w:val="0"/>
          <w:bCs/>
          <w:sz w:val="32"/>
          <w:szCs w:val="32"/>
          <w:lang w:eastAsia="zh-CN"/>
        </w:rPr>
        <w:t>严厉打击</w:t>
      </w:r>
      <w:r>
        <w:rPr>
          <w:rFonts w:hint="eastAsia" w:ascii="仿宋_GB2312" w:hAnsi="宋体" w:eastAsia="仿宋_GB2312"/>
          <w:b w:val="0"/>
          <w:bCs/>
          <w:sz w:val="32"/>
          <w:szCs w:val="32"/>
        </w:rPr>
        <w:t>农机安全生产领域的违法违规行为，深入开展农机安全生产专项整治 。</w:t>
      </w:r>
    </w:p>
    <w:p w14:paraId="5F110802">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18089B0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本单位2021年初资产合计数为44.83万元，年末资产合计数为54.23万元。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截止本年度固定资产账面净值43.26万元，年末实际在用固定资产43.26万元，固定资产利用率为100%。</w:t>
      </w:r>
    </w:p>
    <w:p w14:paraId="2870DF62">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5E98CD2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部门单位整体支出共设置一级指标3个，二级指标7个，三级指标14个，其中已完成三级指标13个，指标完成率为92.86%。</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“保障人员人数”指标：预期指标值&gt;=48人，实际完成指标值为48人，指标完成率为100%。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“保障车辆数”指标：预期指标值为&gt;=3辆，实际完成指标值为3辆，指标完成率为100%。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“开展群众工作”指标：预期指标值为&gt;=6次，实际完成指标值为6次，指标完成率为100%。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“为民办实事”指标：预期指标值为&gt;=8次，实际完成指标值为8次，指标完成率为100%。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“人员经费”指标：预期指标值为&lt;=419.2万元，实际完成指标值为419.2万元，指标完成率为100%。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“公用经费”指标：预期指标值为&lt;=23.07万元，实际完成指标值为22.12万元，指标完成率为95.88%。偏差原因：2021年福利费未形成支出。改进措施：积极与办公室协调，加强福利费的使用效力。</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“项目经费”指标：预期指标值为&lt;=63.1万元，实际完成指标值为63.10万元，指标完成率为100%。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“提高农牧民生产生活质量”指标：预期指标值为有效加强，实际完成指标值为有效加强，指标完成率为100%。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“加强基层组织建设”指标：预期指标值为有效提高，实际完成指标值为有效提高，指标完成率为100%。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“有效改善标准化造和机械化作业”指标：预期指标值为有效改善，实际完成指标值为有效改善，指标完成率为100%。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“受益农牧民的满意度”指标：预期指标值为&gt;=95%，实际完成指标值为95%，指标完成率为100%。</w:t>
      </w:r>
    </w:p>
    <w:p w14:paraId="25BCC30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36638A6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1516CD8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1B33F34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1D3066A"/>
    <w:rsid w:val="1438599A"/>
    <w:rsid w:val="200F4073"/>
    <w:rsid w:val="24B86128"/>
    <w:rsid w:val="268F717A"/>
    <w:rsid w:val="30C977D3"/>
    <w:rsid w:val="3C2469A8"/>
    <w:rsid w:val="51C70EA9"/>
    <w:rsid w:val="54F842B6"/>
    <w:rsid w:val="5F3C1913"/>
    <w:rsid w:val="656071F2"/>
    <w:rsid w:val="67C40A07"/>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12272</Words>
  <Characters>13005</Characters>
  <Lines>2</Lines>
  <Paragraphs>1</Paragraphs>
  <TotalTime>0</TotalTime>
  <ScaleCrop>false</ScaleCrop>
  <LinksUpToDate>false</LinksUpToDate>
  <CharactersWithSpaces>13306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2025-07-31T03:30:23Z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